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</w:t>
      </w:r>
      <w:r/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приказом министерства </w:t>
      </w:r>
      <w:r/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образования Ставропольского края </w:t>
      </w:r>
      <w:r/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01.09.2023 г. № 1565-пр</w:t>
      </w:r>
      <w:r/>
    </w:p>
    <w:p>
      <w:pPr>
        <w:pStyle w:val="8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-998220</wp:posOffset>
                </wp:positionV>
                <wp:extent cx="396240" cy="304800"/>
                <wp:effectExtent l="0" t="0" r="22860" b="19050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449.5pt;mso-position-horizontal:absolute;mso-position-vertical-relative:text;margin-top:-78.6pt;mso-position-vertical:absolute;width:31.2pt;height:24.0pt;mso-wrap-distance-left:9.0pt;mso-wrap-distance-top:0.0pt;mso-wrap-distance-right:9.0pt;mso-wrap-distance-bottom:0.0pt;visibility:visible;" fillcolor="#FFFFFF" strokecolor="#FFFFFF" strokeweight="1.00pt">
                <v:stroke dashstyle="solid"/>
              </v:shape>
            </w:pict>
          </mc:Fallback>
        </mc:AlternateContent>
      </w:r>
      <w:r/>
    </w:p>
    <w:p>
      <w:pPr>
        <w:pStyle w:val="8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pStyle w:val="88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7"/>
        <w:jc w:val="center"/>
        <w:spacing w:line="240" w:lineRule="exac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Ставропольского </w:t>
      </w:r>
      <w:r>
        <w:rPr>
          <w:rFonts w:ascii="Times New Roman" w:hAnsi="Times New Roman"/>
          <w:iCs/>
          <w:sz w:val="28"/>
          <w:szCs w:val="28"/>
        </w:rPr>
        <w:t xml:space="preserve">краевого открытого научно-инженерного </w:t>
      </w:r>
      <w:r/>
    </w:p>
    <w:p>
      <w:pPr>
        <w:pStyle w:val="88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исследовательского конкурса</w:t>
      </w:r>
      <w:r/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. Общие положения</w:t>
      </w:r>
      <w:r/>
    </w:p>
    <w:p>
      <w:pPr>
        <w:ind w:firstLine="68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Настоящее Положение о про</w:t>
      </w:r>
      <w:r>
        <w:rPr>
          <w:sz w:val="28"/>
          <w:szCs w:val="28"/>
        </w:rPr>
        <w:t xml:space="preserve">ведении </w:t>
      </w:r>
      <w:r>
        <w:rPr>
          <w:iCs/>
          <w:sz w:val="28"/>
          <w:szCs w:val="28"/>
        </w:rPr>
        <w:t xml:space="preserve">Ставропольского краевого открытого научно-инженерного исследовательского конкурса (далее </w:t>
      </w:r>
      <w:r>
        <w:rPr>
          <w:sz w:val="28"/>
          <w:szCs w:val="28"/>
        </w:rPr>
        <w:t xml:space="preserve">–</w:t>
      </w:r>
      <w:r>
        <w:rPr>
          <w:iCs/>
          <w:sz w:val="28"/>
          <w:szCs w:val="28"/>
        </w:rPr>
        <w:t xml:space="preserve"> Конкурс) </w:t>
      </w:r>
      <w:r>
        <w:rPr>
          <w:sz w:val="28"/>
          <w:szCs w:val="28"/>
        </w:rPr>
        <w:t xml:space="preserve">определяет </w:t>
      </w:r>
      <w:r>
        <w:rPr>
          <w:bCs/>
          <w:sz w:val="28"/>
          <w:szCs w:val="28"/>
        </w:rPr>
        <w:t xml:space="preserve">цели, задачи Конкурса, категории участников, порядок проведения и определения победителей Конкурса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680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Организаторами Конкурса являются: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Ставропольского края (далее – министерство);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комитет образования администрации города Ставрополя;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  <w:r>
        <w:rPr>
          <w:sz w:val="28"/>
          <w:szCs w:val="28"/>
        </w:rPr>
        <w:t xml:space="preserve">Ставропольского Дворца детского творчества (далее – МАУ </w:t>
      </w:r>
      <w:r>
        <w:rPr>
          <w:bCs/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СДДТ).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Конкурс проводится при участии: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бюджетного учреждения Ставропольского края «Центр молодежных проектов»;</w:t>
      </w:r>
      <w:r/>
    </w:p>
    <w:p>
      <w:pPr>
        <w:ind w:firstLine="680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</w:t>
      </w:r>
      <w:r>
        <w:rPr>
          <w:sz w:val="28"/>
          <w:szCs w:val="28"/>
        </w:rPr>
        <w:t xml:space="preserve">Северо-Кавказский</w:t>
      </w:r>
      <w:r>
        <w:rPr>
          <w:sz w:val="28"/>
          <w:szCs w:val="28"/>
        </w:rPr>
        <w:t xml:space="preserve"> федеральный университет» (далее – ФГАОУ ВО «Северо-Кавказский федеральный университет»);</w:t>
      </w:r>
      <w:r/>
    </w:p>
    <w:p>
      <w:pPr>
        <w:ind w:firstLine="680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«Ставропольский государственный аграрный университет» (далее –</w:t>
      </w:r>
      <w:r>
        <w:rPr>
          <w:sz w:val="28"/>
          <w:szCs w:val="28"/>
        </w:rPr>
        <w:t xml:space="preserve"> ФГБОУ ВО «Ставропольский государственный аграрный университет»);</w:t>
      </w:r>
      <w:r/>
    </w:p>
    <w:p>
      <w:pPr>
        <w:ind w:firstLine="680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 Министерства здравоохранения Российской Феде</w:t>
      </w:r>
      <w:r>
        <w:rPr>
          <w:sz w:val="28"/>
          <w:szCs w:val="28"/>
        </w:rPr>
        <w:t xml:space="preserve">рации (далее – ФГБОУ ВО «Ставропольский государственный медицинский университет»).</w:t>
      </w:r>
      <w:r/>
    </w:p>
    <w:p>
      <w:pPr>
        <w:ind w:firstLine="680"/>
        <w:jc w:val="both"/>
        <w:shd w:val="clear" w:color="auto" w:fill="ffffff"/>
        <w:tabs>
          <w:tab w:val="left" w:pos="567" w:leader="none"/>
        </w:tabs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sz w:val="28"/>
          <w:szCs w:val="28"/>
        </w:rPr>
        <w:t xml:space="preserve">Рабочий язык Конкурса </w:t>
      </w:r>
      <w:r>
        <w:rPr>
          <w:sz w:val="28"/>
          <w:szCs w:val="28"/>
        </w:rPr>
        <w:t xml:space="preserve">–</w:t>
      </w:r>
      <w:r>
        <w:rPr>
          <w:iCs/>
          <w:sz w:val="28"/>
          <w:szCs w:val="28"/>
        </w:rPr>
        <w:t xml:space="preserve"> русский.</w:t>
      </w:r>
      <w:r/>
    </w:p>
    <w:p>
      <w:pPr>
        <w:ind w:firstLine="680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. Цели и задачи Конкурса</w:t>
      </w:r>
      <w:r/>
    </w:p>
    <w:p>
      <w:pPr>
        <w:ind w:firstLine="623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Целями Конкурса являются:</w:t>
      </w:r>
      <w:r/>
    </w:p>
    <w:p>
      <w:pPr>
        <w:ind w:firstLine="623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популяризация среди обучающихся фундаментальной и прикладной науки, ее приложени</w:t>
      </w:r>
      <w:r>
        <w:rPr>
          <w:sz w:val="28"/>
          <w:szCs w:val="28"/>
        </w:rPr>
        <w:t xml:space="preserve">й в практической деятельности;</w:t>
      </w:r>
      <w:r/>
    </w:p>
    <w:p>
      <w:pPr>
        <w:ind w:firstLine="623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среди обучающихся престижа инженерно-технических профессий;</w:t>
      </w:r>
      <w:r/>
    </w:p>
    <w:p>
      <w:pPr>
        <w:ind w:firstLine="623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проектно-исследовательской деятельности обучающихся по естественно-научным и инженерным направлениям; 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Задачами Конкурса являются: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привлечение молодежи к занятиям </w:t>
      </w:r>
      <w:r>
        <w:rPr>
          <w:sz w:val="28"/>
          <w:szCs w:val="28"/>
        </w:rPr>
        <w:t xml:space="preserve">наукой, проведению фундаментальных и прикладных исследований и инженерных разработок;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возможности участникам реализовать творческий потенциал путем реализации проектов, получить оценку со стороны профессионального и научного сообщества;</w:t>
      </w:r>
      <w:r/>
    </w:p>
    <w:p>
      <w:pPr>
        <w:ind w:firstLine="6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наиболее талантливых, обладающих интересом к инженерному труду и инновационной деятельности обучающихся, создание условий для поддержки их научно-технической деятельности и получения инженерного образования.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.Сроки, места проведения Конкурса. Уча</w:t>
      </w:r>
      <w:r>
        <w:rPr>
          <w:sz w:val="28"/>
          <w:szCs w:val="28"/>
        </w:rPr>
        <w:t xml:space="preserve">стники Конкурса</w:t>
      </w:r>
      <w:r/>
    </w:p>
    <w:p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7. Конкурс проводится ежегодно в два этапа (сентябрь – ноябрь).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этап – отборочный проводится во всех образовательных организациях Ставропольского края с 04 сентября по 15 октября 2023 года;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 – краевой (октябрь – ноябрь).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(отборочного) этапа Конкурса принимают участие во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(краевом) этапе Конкурса.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Конкурса проводится в два тура: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– с 16 октября по 10 ноября 2023 года,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– с 29 по 30 ноября 2023 года в городе Ставрополе.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Краевой этап Конкурса </w:t>
      </w:r>
      <w:r>
        <w:rPr>
          <w:sz w:val="28"/>
          <w:szCs w:val="28"/>
        </w:rPr>
        <w:t xml:space="preserve">проводится в МАУ ДО СДДТ, образовательных организаций высшего образования г. Ставрополя.</w:t>
      </w:r>
      <w:r/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Участники Конкурса – </w:t>
      </w:r>
      <w:r>
        <w:rPr>
          <w:sz w:val="28"/>
          <w:szCs w:val="28"/>
        </w:rPr>
        <w:t xml:space="preserve">обучающиеся образовательных организаций, расположенных на территории Ставропольского края и других регионов Российской Федерации.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10. Конкурс п</w:t>
      </w:r>
      <w:r>
        <w:rPr>
          <w:sz w:val="28"/>
          <w:szCs w:val="28"/>
        </w:rPr>
        <w:t xml:space="preserve">роводится по двум возрастным категориям:</w:t>
      </w:r>
      <w:r/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первая категория: 5-7 классы;</w:t>
      </w:r>
      <w:r/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вторая категория: 8-11 классы.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Конкурса: 10-18 лет. </w:t>
      </w:r>
      <w:r/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Порядок проведения Конкурса</w:t>
      </w:r>
      <w:r/>
    </w:p>
    <w:p>
      <w:pPr>
        <w:pStyle w:val="874"/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Конкурс проводится в следующих номинациях: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</w:t>
      </w:r>
      <w:r>
        <w:rPr>
          <w:iCs/>
          <w:sz w:val="28"/>
          <w:szCs w:val="28"/>
        </w:rPr>
        <w:t xml:space="preserve">ундаментальная и прикладная математика;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теоретическая и экспериментальная физика и астрономия;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системное программирование и информационные технологии;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техника и наукоемкий инжиниринг;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робототехника;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биология;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органическая и неорганическая химия;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экология;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физиология и медицина;</w:t>
      </w:r>
      <w:r/>
    </w:p>
    <w:p>
      <w:pPr>
        <w:ind w:left="709"/>
        <w:jc w:val="both"/>
        <w:shd w:val="clear" w:color="auto" w:fill="ffffff"/>
        <w:tabs>
          <w:tab w:val="left" w:pos="1134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науки о Земле.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Работы участников должны содержать новые научные, инженерные, исследовательские или прикладные результаты. При подготовке работы допускается участие научных руководителей в качестве консультантов.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Конкурсе мо</w:t>
      </w:r>
      <w:r>
        <w:rPr>
          <w:sz w:val="28"/>
          <w:szCs w:val="28"/>
        </w:rPr>
        <w:t xml:space="preserve">гут принять участие только индивидуальные исследователи, групповые работы не принимаются.</w:t>
      </w:r>
      <w:r/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14. Первый тур </w:t>
      </w:r>
      <w:r>
        <w:rPr>
          <w:iCs/>
          <w:sz w:val="28"/>
          <w:szCs w:val="28"/>
          <w:lang w:val="en-US"/>
        </w:rPr>
        <w:t xml:space="preserve">II</w:t>
      </w:r>
      <w:r>
        <w:rPr>
          <w:iCs/>
          <w:sz w:val="28"/>
          <w:szCs w:val="28"/>
        </w:rPr>
        <w:t xml:space="preserve"> этапа Конкурса проводится в заочной форме. Для участия в первом туре </w:t>
      </w:r>
      <w:r>
        <w:rPr>
          <w:iCs/>
          <w:sz w:val="28"/>
          <w:szCs w:val="28"/>
          <w:lang w:val="en-US"/>
        </w:rPr>
        <w:t xml:space="preserve">II</w:t>
      </w:r>
      <w:r>
        <w:rPr>
          <w:iCs/>
          <w:sz w:val="28"/>
          <w:szCs w:val="28"/>
        </w:rPr>
        <w:t xml:space="preserve"> этапа Конкурса участник Конкурса направляет:</w:t>
      </w:r>
      <w:r/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заявку в электронном варианте в</w:t>
      </w:r>
      <w:r>
        <w:rPr>
          <w:iCs/>
          <w:sz w:val="28"/>
          <w:szCs w:val="28"/>
        </w:rPr>
        <w:t xml:space="preserve"> срок с 16 до 31 октября по ссылке </w:t>
      </w:r>
      <w:hyperlink r:id="rId11" w:tooltip="https://forms.yandex.ru/cloud/64e433e3d04688dff7033d26/" w:history="1">
        <w:r>
          <w:rPr>
            <w:rStyle w:val="875"/>
            <w:iCs/>
            <w:sz w:val="28"/>
            <w:szCs w:val="28"/>
          </w:rPr>
          <w:t xml:space="preserve">https://forms.yandex.ru/cloud/64e433e3d04688dff7033d26/</w:t>
        </w:r>
      </w:hyperlink>
      <w:r>
        <w:rPr>
          <w:iCs/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электронный вариант конкурсных </w:t>
      </w:r>
      <w:r>
        <w:rPr>
          <w:iCs/>
          <w:sz w:val="28"/>
          <w:szCs w:val="28"/>
        </w:rPr>
        <w:t xml:space="preserve">материалов (электронная папка) </w:t>
      </w:r>
      <w:r>
        <w:rPr>
          <w:sz w:val="28"/>
          <w:szCs w:val="28"/>
        </w:rPr>
        <w:t xml:space="preserve">–</w:t>
      </w:r>
      <w:r>
        <w:rPr>
          <w:iCs/>
          <w:sz w:val="28"/>
          <w:szCs w:val="28"/>
        </w:rPr>
        <w:t xml:space="preserve"> по электронной почте на адрес </w:t>
      </w:r>
      <w:hyperlink r:id="rId12" w:tooltip="mailto:man@stavddt.ru" w:history="1">
        <w:r>
          <w:rPr>
            <w:rStyle w:val="875"/>
            <w:iCs/>
            <w:sz w:val="28"/>
            <w:szCs w:val="28"/>
            <w:lang w:val="en-US"/>
          </w:rPr>
          <w:t xml:space="preserve">man</w:t>
        </w:r>
        <w:r>
          <w:rPr>
            <w:rStyle w:val="875"/>
            <w:iCs/>
            <w:sz w:val="28"/>
            <w:szCs w:val="28"/>
          </w:rPr>
          <w:t xml:space="preserve">@</w:t>
        </w:r>
        <w:r>
          <w:rPr>
            <w:rStyle w:val="875"/>
            <w:iCs/>
            <w:sz w:val="28"/>
            <w:szCs w:val="28"/>
            <w:lang w:val="en-US"/>
          </w:rPr>
          <w:t xml:space="preserve">stavddt</w:t>
        </w:r>
        <w:r>
          <w:rPr>
            <w:rStyle w:val="875"/>
            <w:iCs/>
            <w:sz w:val="28"/>
            <w:szCs w:val="28"/>
          </w:rPr>
          <w:t xml:space="preserve">.</w:t>
        </w:r>
        <w:r>
          <w:rPr>
            <w:rStyle w:val="875"/>
            <w:iCs/>
            <w:sz w:val="28"/>
            <w:szCs w:val="28"/>
            <w:lang w:val="en-US"/>
          </w:rPr>
          <w:t xml:space="preserve">ru</w:t>
        </w:r>
      </w:hyperlink>
      <w:r>
        <w:rPr>
          <w:iCs/>
          <w:sz w:val="28"/>
          <w:szCs w:val="28"/>
        </w:rPr>
        <w:t xml:space="preserve"> в срок с 16 до 31 октября; </w:t>
      </w:r>
      <w:r/>
    </w:p>
    <w:p>
      <w:pPr>
        <w:pStyle w:val="874"/>
        <w:ind w:left="0" w:firstLine="709"/>
        <w:jc w:val="both"/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конкурсные материалы в печатном виде </w:t>
      </w:r>
      <w:r>
        <w:rPr>
          <w:iCs/>
          <w:sz w:val="28"/>
          <w:szCs w:val="28"/>
        </w:rPr>
        <w:t xml:space="preserve">в срок с 16 до 31 октября</w:t>
      </w:r>
      <w:r>
        <w:rPr>
          <w:spacing w:val="-2"/>
          <w:sz w:val="28"/>
          <w:szCs w:val="28"/>
        </w:rPr>
        <w:t xml:space="preserve"> по адресу: 355017, г. </w:t>
      </w:r>
      <w:r>
        <w:rPr>
          <w:spacing w:val="-2"/>
          <w:sz w:val="28"/>
          <w:szCs w:val="28"/>
        </w:rPr>
        <w:t xml:space="preserve">Ставрополь, ул. Ленина, д. 292, </w:t>
      </w:r>
      <w:r>
        <w:rPr>
          <w:spacing w:val="-2"/>
          <w:sz w:val="28"/>
          <w:szCs w:val="28"/>
        </w:rPr>
        <w:t xml:space="preserve">каб</w:t>
      </w:r>
      <w:r>
        <w:rPr>
          <w:spacing w:val="-2"/>
          <w:sz w:val="28"/>
          <w:szCs w:val="28"/>
        </w:rPr>
        <w:t xml:space="preserve">. 212, МАУ ДО ДДТ, Малая академия наук. 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14.1. Электронная папка участника Конкурса </w:t>
      </w:r>
      <w:r>
        <w:rPr>
          <w:bCs/>
          <w:sz w:val="28"/>
          <w:szCs w:val="28"/>
        </w:rPr>
        <w:t xml:space="preserve">(название папки - Фамилия Имя участника) содержит 2 файла:</w:t>
      </w:r>
      <w:r/>
    </w:p>
    <w:p>
      <w:pPr>
        <w:pStyle w:val="876"/>
        <w:ind w:firstLine="709"/>
        <w:jc w:val="both"/>
        <w:spacing w:after="0"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работы участника (</w:t>
      </w:r>
      <w:r>
        <w:rPr>
          <w:bCs/>
          <w:sz w:val="28"/>
          <w:szCs w:val="28"/>
        </w:rPr>
        <w:t xml:space="preserve">название файла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«Фамилия </w:t>
      </w:r>
      <w:r>
        <w:rPr>
          <w:sz w:val="28"/>
          <w:szCs w:val="28"/>
        </w:rPr>
        <w:t xml:space="preserve">Имя_Работа</w:t>
      </w:r>
      <w:r>
        <w:rPr>
          <w:sz w:val="28"/>
          <w:szCs w:val="28"/>
        </w:rPr>
        <w:t xml:space="preserve">»);</w:t>
      </w:r>
      <w:r/>
    </w:p>
    <w:p>
      <w:pPr>
        <w:pStyle w:val="876"/>
        <w:ind w:firstLine="709"/>
        <w:jc w:val="both"/>
        <w:spacing w:after="0" w:line="240" w:lineRule="auto"/>
        <w:tabs>
          <w:tab w:val="left" w:pos="540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актуальная версия Устава образовательной организации с указанием полного и краткого наименования.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Конкурсные материалы </w:t>
      </w:r>
      <w:r>
        <w:rPr>
          <w:spacing w:val="-2"/>
          <w:sz w:val="28"/>
          <w:szCs w:val="28"/>
        </w:rPr>
        <w:t xml:space="preserve">в печатном виде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– 1 экземпляр (приложение № 1);</w:t>
      </w:r>
      <w:r/>
    </w:p>
    <w:p>
      <w:pPr>
        <w:pStyle w:val="876"/>
        <w:ind w:firstLine="709"/>
        <w:jc w:val="both"/>
        <w:spacing w:after="0"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участника – 1 экземпляр.</w:t>
      </w:r>
      <w:r/>
    </w:p>
    <w:p>
      <w:pPr>
        <w:ind w:firstLine="709"/>
        <w:jc w:val="both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15. К первому туру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 допуск</w:t>
      </w:r>
      <w:r>
        <w:rPr>
          <w:sz w:val="28"/>
          <w:szCs w:val="28"/>
        </w:rPr>
        <w:t xml:space="preserve">аются участники, представившие </w:t>
      </w:r>
      <w:r>
        <w:rPr>
          <w:bCs/>
          <w:sz w:val="28"/>
          <w:szCs w:val="28"/>
        </w:rPr>
        <w:t xml:space="preserve">конкурсные материалы, оформленные в соответствии с требованиями п.14. данного Положения.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позже 31 октября 2023 года, а также оформленные не в соответствии с требованиями, определенными данным Положением</w:t>
      </w:r>
      <w:r>
        <w:rPr>
          <w:sz w:val="28"/>
          <w:szCs w:val="28"/>
        </w:rPr>
        <w:t xml:space="preserve"> (приложение 2 к настоящему Положению), не рассматриваются.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16. Экспертизу представленных работ на Конкурс в каждой номинации осуществляют члены жюри Конкурса, утвержденные приказом министерства.  </w:t>
      </w:r>
      <w:r/>
    </w:p>
    <w:p>
      <w:pPr>
        <w:ind w:firstLine="709"/>
        <w:jc w:val="both"/>
        <w:shd w:val="clear" w:color="auto" w:fill="ffffff" w:themeFill="background1"/>
        <w:rPr>
          <w:bCs/>
          <w:sz w:val="28"/>
          <w:szCs w:val="28"/>
        </w:rPr>
      </w:pPr>
      <w:r>
        <w:rPr>
          <w:sz w:val="28"/>
          <w:szCs w:val="28"/>
        </w:rPr>
        <w:t xml:space="preserve">Члены жюри Конкурса в период с 01 по 08 ноября 2023 года </w:t>
      </w:r>
      <w:r>
        <w:rPr>
          <w:sz w:val="28"/>
          <w:szCs w:val="28"/>
        </w:rPr>
        <w:t xml:space="preserve">проводят экспертизу представленных </w:t>
      </w:r>
      <w:r>
        <w:rPr>
          <w:bCs/>
          <w:sz w:val="28"/>
          <w:szCs w:val="28"/>
        </w:rPr>
        <w:t xml:space="preserve">конкурсных материалов </w:t>
      </w:r>
      <w:r>
        <w:rPr>
          <w:sz w:val="28"/>
          <w:szCs w:val="28"/>
        </w:rPr>
        <w:t xml:space="preserve">по каждой и направляют результаты в оргкомитет.</w:t>
      </w:r>
      <w:r>
        <w:rPr>
          <w:bCs/>
          <w:sz w:val="28"/>
          <w:szCs w:val="28"/>
        </w:rPr>
        <w:t xml:space="preserve"> </w:t>
      </w:r>
      <w:r/>
    </w:p>
    <w:p>
      <w:pPr>
        <w:ind w:firstLine="709"/>
        <w:jc w:val="both"/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Критери</w:t>
      </w:r>
      <w:r>
        <w:rPr>
          <w:bCs/>
          <w:sz w:val="28"/>
          <w:szCs w:val="28"/>
        </w:rPr>
        <w:t xml:space="preserve">и оценки научных исследований и проектов участников первого тура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 </w:t>
      </w:r>
      <w:r>
        <w:rPr>
          <w:bCs/>
          <w:sz w:val="28"/>
          <w:szCs w:val="28"/>
        </w:rPr>
        <w:t xml:space="preserve">описаны в Приложении 3.</w:t>
      </w:r>
      <w:r/>
    </w:p>
    <w:p>
      <w:pPr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bCs/>
          <w:sz w:val="28"/>
          <w:szCs w:val="28"/>
        </w:rPr>
        <w:t xml:space="preserve">18. Результаты первого тура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 в каждой номинации, списки участников второго тура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 в каждой номинации утверждаются протоколами жюри. </w:t>
      </w:r>
      <w:r>
        <w:rPr>
          <w:sz w:val="28"/>
          <w:szCs w:val="28"/>
        </w:rPr>
        <w:t xml:space="preserve">Жю</w:t>
      </w:r>
      <w:r>
        <w:rPr>
          <w:sz w:val="28"/>
          <w:szCs w:val="28"/>
        </w:rPr>
        <w:t xml:space="preserve">ри определяют количество и состав участников второго тура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Результаты первого тура</w:t>
      </w:r>
      <w:r>
        <w:rPr>
          <w:sz w:val="28"/>
          <w:szCs w:val="28"/>
        </w:rPr>
        <w:t xml:space="preserve">, списки участников второго тура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 </w:t>
      </w:r>
      <w:r>
        <w:rPr>
          <w:iCs/>
          <w:sz w:val="28"/>
          <w:szCs w:val="28"/>
        </w:rPr>
        <w:t xml:space="preserve">размещаются на официальном сайте</w:t>
      </w:r>
      <w:r>
        <w:rPr>
          <w:bCs/>
          <w:sz w:val="28"/>
          <w:szCs w:val="28"/>
        </w:rPr>
        <w:t xml:space="preserve">: </w:t>
      </w:r>
      <w:hyperlink r:id="rId13" w:tooltip="http://stavddt.ru/about/departments/man/konkursy-i-meropriyatiya-man.php" w:history="1">
        <w:r>
          <w:rPr>
            <w:rStyle w:val="875"/>
            <w:sz w:val="28"/>
            <w:szCs w:val="28"/>
          </w:rPr>
          <w:t xml:space="preserve">http://stavddt.ru/about/departments/man/konkursy-i-meropriyatiya-man.php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позднее 10 ноября 2023 года.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19. Второй тур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 </w:t>
      </w:r>
      <w:r>
        <w:rPr>
          <w:sz w:val="28"/>
          <w:szCs w:val="28"/>
        </w:rPr>
        <w:t xml:space="preserve">проводится в очном или дистанционном форматах и предполагает публичную защиту работы. Демонстрация и защита работ участников Конкурса может проходить на выставочных экспозициях или в виде видеоконференции. Участник оформляет стенд (Приложение № 2) и предст</w:t>
      </w:r>
      <w:r>
        <w:rPr>
          <w:sz w:val="28"/>
          <w:szCs w:val="28"/>
        </w:rPr>
        <w:t xml:space="preserve">авляет необходимый демонстрационный материал, выступает с презентацией результатов своей работы перед членами жюри Конкурса и другими участниками очного тура Конкурса. Участник имеет право выступить с одним докладом только в одной номинации.</w:t>
      </w:r>
      <w:r/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выступле</w:t>
      </w:r>
      <w:r>
        <w:rPr>
          <w:color w:val="000000"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не более 10 минут, ответы на вопросы экспертов - не более 5 минут. </w:t>
      </w:r>
      <w:r/>
    </w:p>
    <w:p>
      <w:pPr>
        <w:ind w:firstLine="709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Максимальное количество баллов, которое может набрать участник во втором туре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 – 100 баллов.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Критери</w:t>
      </w:r>
      <w:r>
        <w:rPr>
          <w:bCs/>
          <w:sz w:val="28"/>
          <w:szCs w:val="28"/>
        </w:rPr>
        <w:t xml:space="preserve">и оценки научных исследований и проектов участников второго</w:t>
      </w:r>
      <w:r>
        <w:rPr>
          <w:bCs/>
          <w:sz w:val="28"/>
          <w:szCs w:val="28"/>
        </w:rPr>
        <w:t xml:space="preserve"> тура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 </w:t>
      </w:r>
      <w:r>
        <w:rPr>
          <w:bCs/>
          <w:sz w:val="28"/>
          <w:szCs w:val="28"/>
        </w:rPr>
        <w:t xml:space="preserve">указаны в Приложении 3.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 В каждой номинации определяется один победитель. Призеры Конкурса должны составлять не более 40% от количества участников каждой номинации, принявших участие во втором туре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Конкурса. При нео</w:t>
      </w:r>
      <w:r>
        <w:rPr>
          <w:sz w:val="28"/>
          <w:szCs w:val="28"/>
        </w:rPr>
        <w:t xml:space="preserve">бходимости в каждой номинации могут быть определены лауреаты.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22. Жюри Конкурса утверждают результаты второго тура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 в каждой номинации, определяют победителей и призеров Конкурса по итогам второго тура и направляют результаты в оргкомитет.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 Особые условия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Работа, представленная на Конкурс, представляет собой самостоятельное нереферативное научное исследование или самостоятельный инженерный проект. Реферативные работы, не носящие исследовательский характер, к участию во втором туре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этапа Конкурса не допускаются.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Представленные работы не рецензируются. Материалы, представленные на Конкурс, не возвращаются.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Принимая участие в Конкурсе, участник подтверждает согласие на обработку </w:t>
      </w:r>
      <w:r>
        <w:rPr>
          <w:sz w:val="28"/>
          <w:szCs w:val="28"/>
        </w:rPr>
        <w:t xml:space="preserve">персональных данных, размещение персональных данных, фотографий и видеоматериалов в сети Интернет, в том числе в социальных сетях.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26. Протоколы первого и второго туров </w:t>
      </w:r>
      <w:r>
        <w:rPr>
          <w:bCs/>
          <w:sz w:val="28"/>
          <w:szCs w:val="28"/>
          <w:lang w:val="en-US"/>
        </w:rPr>
        <w:t xml:space="preserve">II</w:t>
      </w:r>
      <w:r>
        <w:rPr>
          <w:bCs/>
          <w:sz w:val="28"/>
          <w:szCs w:val="28"/>
        </w:rPr>
        <w:t xml:space="preserve"> этапа Конкурса</w:t>
      </w:r>
      <w:r>
        <w:rPr>
          <w:sz w:val="28"/>
          <w:szCs w:val="28"/>
        </w:rPr>
        <w:t xml:space="preserve"> по каждой номинации хранятся в министерстве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 01 ноября</w:t>
      </w:r>
      <w:r>
        <w:rPr>
          <w:sz w:val="28"/>
          <w:szCs w:val="28"/>
        </w:rPr>
        <w:t xml:space="preserve"> года, следующего за годом проведения Конкурса.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</w:rPr>
        <w:t xml:space="preserve">. Оргкомитет Конкурса</w:t>
      </w:r>
      <w:r/>
    </w:p>
    <w:p>
      <w:pPr>
        <w:pStyle w:val="879"/>
        <w:spacing w:line="240" w:lineRule="auto"/>
        <w:shd w:val="clear" w:color="auto" w:fill="ffffff"/>
        <w:rPr>
          <w:szCs w:val="28"/>
        </w:rPr>
      </w:pPr>
      <w:r>
        <w:rPr>
          <w:szCs w:val="28"/>
        </w:rPr>
        <w:t xml:space="preserve">27.  Организационное обеспечение проведения Конкурса осуществляет оргкомитет Конкурса (далее – Оргкомитет).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Оргкомитет </w:t>
      </w:r>
      <w:r>
        <w:rPr>
          <w:sz w:val="28"/>
          <w:szCs w:val="28"/>
        </w:rPr>
        <w:t xml:space="preserve">создается с целью координации работы при проведении Конкурса и </w:t>
      </w:r>
      <w:r>
        <w:rPr>
          <w:sz w:val="28"/>
          <w:szCs w:val="28"/>
        </w:rPr>
        <w:t xml:space="preserve">утверждается приказом министерства.  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Оргкомитет: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разрабатывает программу проведения Конкурса;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заявок и конкурсных материалов; 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обеспечивает информационную поддержку Конкурса; 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и проведение церемоний открытия и за</w:t>
      </w:r>
      <w:r>
        <w:rPr>
          <w:sz w:val="28"/>
          <w:szCs w:val="28"/>
        </w:rPr>
        <w:t xml:space="preserve">крытия Конкурса, награждения победителей и призеров Конкурса.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VII. Подведение итогов и награждение победителей.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28. Результаты второго тура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этапа Конкурса утверждаются приказом министерства.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Авторы лучших работ в номинации могут получить рекомендац</w:t>
      </w:r>
      <w:r>
        <w:rPr>
          <w:sz w:val="28"/>
          <w:szCs w:val="28"/>
        </w:rPr>
        <w:t xml:space="preserve">ии жюри Конкурса для участия в российских научных мероприятиях.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30. Победители Конкурса награждаются дипломами министерства за I, II, III место, дипломами лауреатов.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32. Итоги Конкурса размещаются на официальных сайтах министерства и МАУ </w:t>
      </w:r>
      <w:r>
        <w:rPr>
          <w:bCs/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СДДТ.</w:t>
      </w:r>
      <w:r/>
    </w:p>
    <w:p>
      <w:pPr>
        <w:ind w:firstLine="709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VIII</w:t>
      </w:r>
      <w:r>
        <w:rPr>
          <w:sz w:val="28"/>
          <w:szCs w:val="28"/>
        </w:rPr>
        <w:t xml:space="preserve">. Ф</w:t>
      </w:r>
      <w:r>
        <w:rPr>
          <w:sz w:val="28"/>
          <w:szCs w:val="28"/>
        </w:rPr>
        <w:t xml:space="preserve">инансирование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33. </w:t>
      </w:r>
      <w:r>
        <w:rPr>
          <w:sz w:val="28"/>
          <w:szCs w:val="28"/>
        </w:rPr>
        <w:t xml:space="preserve">Финансирование мероприятия осуществляется за счет средств бюджета Ставропольского края.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Расходы на проезд, питание, проживание участников Конкурса и их руководителей несут направляющие организации.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Cs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____________________________</w:t>
      </w:r>
      <w:r/>
    </w:p>
    <w:tbl>
      <w:tblPr>
        <w:tblStyle w:val="889"/>
        <w:tblW w:w="14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1"/>
        <w:gridCol w:w="4253"/>
      </w:tblGrid>
      <w:tr>
        <w:trPr/>
        <w:tc>
          <w:tcPr>
            <w:tcW w:w="10201" w:type="dxa"/>
            <w:textDirection w:val="lrTb"/>
            <w:noWrap w:val="false"/>
          </w:tcPr>
          <w:p>
            <w:pPr>
              <w:pStyle w:val="876"/>
              <w:jc w:val="righ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76"/>
              <w:spacing w:after="0" w:line="240" w:lineRule="exact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color w:val="ffffff" w:themeColor="background1"/>
                <w:sz w:val="28"/>
                <w:szCs w:val="28"/>
              </w:rPr>
              <w:t xml:space="preserve">1</w:t>
            </w:r>
            <w:r/>
          </w:p>
          <w:p>
            <w:pPr>
              <w:pStyle w:val="876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/>
          </w:p>
          <w:p>
            <w:pPr>
              <w:pStyle w:val="887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Ставропольского </w:t>
            </w:r>
            <w:r/>
          </w:p>
          <w:p>
            <w:pPr>
              <w:pStyle w:val="887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краевого открытого научно-</w:t>
            </w:r>
            <w:r/>
          </w:p>
          <w:p>
            <w:pPr>
              <w:pStyle w:val="887"/>
              <w:spacing w:line="240" w:lineRule="exac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инженерного исследовательского </w:t>
            </w:r>
            <w:r/>
          </w:p>
          <w:p>
            <w:pPr>
              <w:pStyle w:val="887"/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конкурса</w:t>
            </w:r>
            <w:r/>
          </w:p>
        </w:tc>
      </w:tr>
    </w:tbl>
    <w:p>
      <w:pPr>
        <w:pStyle w:val="876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Ставропольском </w:t>
      </w:r>
      <w:r>
        <w:rPr>
          <w:iCs/>
          <w:sz w:val="28"/>
          <w:szCs w:val="28"/>
        </w:rPr>
        <w:t xml:space="preserve">краевом открытом научно-инженерном исследовательском конкурсе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Название направляющей организации (полное, согласно уставу):</w:t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Полный почтовый адрес организации:</w:t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организации:</w:t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 </w:t>
      </w:r>
      <w:r>
        <w:rPr>
          <w:sz w:val="28"/>
          <w:szCs w:val="28"/>
        </w:rPr>
        <w:t xml:space="preserve">организации (с кодом): </w:t>
      </w:r>
      <w:r/>
    </w:p>
    <w:p>
      <w:pPr>
        <w:ind w:hanging="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tbl>
      <w:tblPr>
        <w:tblW w:w="5039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80"/>
        <w:gridCol w:w="1576"/>
        <w:gridCol w:w="1309"/>
        <w:gridCol w:w="514"/>
        <w:gridCol w:w="2219"/>
        <w:gridCol w:w="1823"/>
        <w:gridCol w:w="1820"/>
        <w:gridCol w:w="2624"/>
      </w:tblGrid>
      <w:tr>
        <w:trPr>
          <w:cantSplit/>
          <w:trHeight w:val="1509"/>
        </w:trPr>
        <w:tc>
          <w:tcPr>
            <w:tcW w:w="24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участника</w:t>
            </w:r>
            <w:r/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</w:t>
            </w:r>
            <w:r/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  <w:r/>
          </w:p>
        </w:tc>
        <w:tc>
          <w:tcPr>
            <w:tcW w:w="175" w:type="pc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организация (полное название согласно уставу)</w:t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Муниципальный/городской округ</w:t>
            </w:r>
            <w:r/>
          </w:p>
        </w:tc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телефон,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/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отчество, научное звание, до</w:t>
            </w:r>
            <w:r>
              <w:rPr>
                <w:sz w:val="28"/>
                <w:szCs w:val="28"/>
              </w:rPr>
              <w:t xml:space="preserve">лжность научного руководителя (полностью)</w:t>
            </w:r>
            <w:r/>
          </w:p>
        </w:tc>
      </w:tr>
      <w:tr>
        <w:trPr>
          <w:trHeight w:val="288"/>
        </w:trPr>
        <w:tc>
          <w:tcPr>
            <w:tcW w:w="24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70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3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46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5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6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2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2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89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          _______________         /_________________________________/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М. П.</w:t>
      </w:r>
      <w:r/>
    </w:p>
    <w:p>
      <w:pPr>
        <w:rPr>
          <w:bCs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</w:sectPr>
      </w:pPr>
      <w:r>
        <w:rPr>
          <w:bCs/>
          <w:sz w:val="28"/>
          <w:szCs w:val="28"/>
        </w:rPr>
        <w:br w:type="page" w:clear="all"/>
      </w:r>
      <w:r/>
    </w:p>
    <w:p>
      <w:pPr>
        <w:pStyle w:val="876"/>
        <w:ind w:firstLine="5103"/>
        <w:spacing w:after="0" w:line="240" w:lineRule="exact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color w:val="ffffff" w:themeColor="background1"/>
          <w:sz w:val="28"/>
          <w:szCs w:val="28"/>
        </w:rPr>
        <w:t xml:space="preserve">1</w:t>
      </w:r>
      <w:r/>
    </w:p>
    <w:p>
      <w:pPr>
        <w:pStyle w:val="876"/>
        <w:ind w:firstLine="5103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  <w:r/>
    </w:p>
    <w:p>
      <w:pPr>
        <w:pStyle w:val="876"/>
        <w:ind w:firstLine="5103"/>
        <w:spacing w:after="0" w:line="240" w:lineRule="exact"/>
        <w:rPr>
          <w:iCs/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>
        <w:rPr>
          <w:iCs/>
          <w:sz w:val="28"/>
          <w:szCs w:val="28"/>
        </w:rPr>
        <w:t xml:space="preserve">краевого </w:t>
      </w:r>
      <w:r/>
    </w:p>
    <w:p>
      <w:pPr>
        <w:pStyle w:val="876"/>
        <w:ind w:firstLine="5103"/>
        <w:spacing w:after="0"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открытого научно-инженерного</w:t>
      </w:r>
      <w:r/>
    </w:p>
    <w:p>
      <w:pPr>
        <w:pStyle w:val="876"/>
        <w:ind w:firstLine="5103"/>
        <w:spacing w:after="0" w:line="240" w:lineRule="exact"/>
        <w:rPr>
          <w:sz w:val="28"/>
          <w:szCs w:val="28"/>
        </w:rPr>
      </w:pPr>
      <w:r>
        <w:rPr>
          <w:iCs/>
          <w:sz w:val="28"/>
          <w:szCs w:val="28"/>
        </w:rPr>
        <w:t xml:space="preserve">исследовательского конкурса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и оформлению работ, 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демонстрационных материалов</w:t>
      </w:r>
      <w:r/>
    </w:p>
    <w:p>
      <w:pPr>
        <w:ind w:firstLine="709"/>
        <w:tabs>
          <w:tab w:val="left" w:pos="7890" w:leader="none"/>
        </w:tabs>
        <w:rPr>
          <w:sz w:val="20"/>
          <w:szCs w:val="28"/>
        </w:rPr>
      </w:pPr>
      <w:r>
        <w:rPr>
          <w:sz w:val="28"/>
          <w:szCs w:val="28"/>
        </w:rPr>
        <w:tab/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направляются научные исследования, отвечающее тематике </w:t>
      </w:r>
      <w:r>
        <w:rPr>
          <w:sz w:val="28"/>
          <w:szCs w:val="28"/>
        </w:rPr>
        <w:t xml:space="preserve">номинаций Конкурса. </w:t>
      </w:r>
      <w:r/>
    </w:p>
    <w:p>
      <w:pPr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Работа должна быть нереферативной и содержать элемент новизны. Исследование может носить теоретический характер, может быть описанием эксперимента, техническим описанием инженерного проекта, инновационной компьютерной программой. Наряд</w:t>
      </w:r>
      <w:r>
        <w:rPr>
          <w:sz w:val="28"/>
          <w:szCs w:val="28"/>
        </w:rPr>
        <w:t xml:space="preserve">у с исследованием необходимо подготовить тезисы и полный вариант статьи своей научной работы в соответствии с требованиями. </w:t>
      </w:r>
      <w:r/>
    </w:p>
    <w:p>
      <w:pPr>
        <w:ind w:firstLine="709"/>
        <w:jc w:val="both"/>
        <w:shd w:val="clear" w:color="auto" w:fill="ffffff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 xml:space="preserve">Исследовательская работа выполняется на отдельных листах, листы   между собой не скрепляются. </w:t>
      </w:r>
      <w:r>
        <w:rPr>
          <w:spacing w:val="4"/>
          <w:sz w:val="28"/>
          <w:szCs w:val="28"/>
        </w:rPr>
        <w:t xml:space="preserve">Каждый экземпляр работы должен быть р</w:t>
      </w:r>
      <w:r>
        <w:rPr>
          <w:spacing w:val="4"/>
          <w:sz w:val="28"/>
          <w:szCs w:val="28"/>
        </w:rPr>
        <w:t xml:space="preserve">азмещен в отдельной папке, не допускающей само</w:t>
      </w:r>
      <w:r>
        <w:rPr>
          <w:spacing w:val="3"/>
          <w:sz w:val="28"/>
          <w:szCs w:val="28"/>
        </w:rPr>
        <w:t xml:space="preserve">произвольного выпадения материалов.</w:t>
      </w:r>
      <w:r/>
    </w:p>
    <w:p>
      <w:pPr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Работа выполняется на листах белой бумаги формата А4, ярким шрифтом. Размер шрифта - 12 кегль. Интервал полуторный.</w:t>
      </w:r>
      <w:r/>
    </w:p>
    <w:p>
      <w:pPr>
        <w:ind w:firstLine="709"/>
        <w:jc w:val="center"/>
        <w:shd w:val="clear" w:color="auto" w:fill="ffffff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</w:r>
      <w:r/>
    </w:p>
    <w:p>
      <w:pPr>
        <w:ind w:firstLine="709"/>
        <w:jc w:val="center"/>
        <w:shd w:val="clear" w:color="auto" w:fill="ffffff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Состав работы</w:t>
      </w:r>
      <w:r/>
    </w:p>
    <w:p>
      <w:pPr>
        <w:ind w:right="38" w:firstLine="709"/>
        <w:jc w:val="both"/>
        <w:shd w:val="clear" w:color="auto" w:fill="ffffff"/>
        <w:rPr>
          <w:spacing w:val="2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 xml:space="preserve">Научная статья (описание работы).</w:t>
      </w:r>
      <w:r>
        <w:rPr>
          <w:spacing w:val="-1"/>
          <w:sz w:val="28"/>
          <w:szCs w:val="28"/>
        </w:rPr>
        <w:t xml:space="preserve"> Статья в сопровождении иллюстраций (чертежи, графики, таблицы, фотографии) представляет собой описание исследовательской (творческой) работы. Все сокращения в тексте должны быть расшифрованы. Объем текста статьи, включая формулы и список литературы, не до</w:t>
      </w:r>
      <w:r>
        <w:rPr>
          <w:spacing w:val="-1"/>
          <w:sz w:val="28"/>
          <w:szCs w:val="28"/>
        </w:rPr>
        <w:t xml:space="preserve">лжен превышать 10 стандартных страниц. Для иллюстраций может быть отведено </w:t>
      </w:r>
      <w:r>
        <w:rPr>
          <w:spacing w:val="2"/>
          <w:sz w:val="28"/>
          <w:szCs w:val="28"/>
        </w:rPr>
        <w:t xml:space="preserve">дополнительно не более 10 стандартных страниц. 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статья традиционно состоит из следующих разделов:</w:t>
      </w:r>
      <w:r/>
    </w:p>
    <w:p>
      <w:pPr>
        <w:numPr>
          <w:ilvl w:val="0"/>
          <w:numId w:val="5"/>
        </w:numPr>
        <w:ind w:left="0" w:firstLine="284"/>
        <w:tabs>
          <w:tab w:val="num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оглавление;</w:t>
      </w:r>
      <w:r/>
    </w:p>
    <w:p>
      <w:pPr>
        <w:numPr>
          <w:ilvl w:val="0"/>
          <w:numId w:val="5"/>
        </w:numPr>
        <w:ind w:left="0" w:firstLine="284"/>
        <w:tabs>
          <w:tab w:val="num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введение с постановкой цели и задач исследования;</w:t>
      </w:r>
      <w:r/>
    </w:p>
    <w:p>
      <w:pPr>
        <w:numPr>
          <w:ilvl w:val="0"/>
          <w:numId w:val="5"/>
        </w:numPr>
        <w:ind w:left="0" w:firstLine="284"/>
        <w:tabs>
          <w:tab w:val="num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материалы и м</w:t>
      </w:r>
      <w:r>
        <w:rPr>
          <w:sz w:val="28"/>
          <w:szCs w:val="28"/>
        </w:rPr>
        <w:t xml:space="preserve">етоды исследования;</w:t>
      </w:r>
      <w:r/>
    </w:p>
    <w:p>
      <w:pPr>
        <w:numPr>
          <w:ilvl w:val="0"/>
          <w:numId w:val="5"/>
        </w:numPr>
        <w:ind w:left="0" w:firstLine="284"/>
        <w:tabs>
          <w:tab w:val="num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литературы;</w:t>
      </w:r>
      <w:r/>
    </w:p>
    <w:p>
      <w:pPr>
        <w:numPr>
          <w:ilvl w:val="0"/>
          <w:numId w:val="5"/>
        </w:numPr>
        <w:ind w:left="0" w:firstLine="284"/>
        <w:tabs>
          <w:tab w:val="num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и их обсуждение;</w:t>
      </w:r>
      <w:r/>
    </w:p>
    <w:p>
      <w:pPr>
        <w:numPr>
          <w:ilvl w:val="0"/>
          <w:numId w:val="5"/>
        </w:numPr>
        <w:ind w:left="0" w:firstLine="284"/>
        <w:jc w:val="both"/>
        <w:shd w:val="clear" w:color="auto" w:fill="ffffff"/>
        <w:tabs>
          <w:tab w:val="num" w:pos="426" w:leader="none"/>
          <w:tab w:val="clear" w:pos="720" w:leader="none"/>
        </w:tabs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выводы;</w:t>
      </w:r>
      <w:r/>
    </w:p>
    <w:p>
      <w:pPr>
        <w:numPr>
          <w:ilvl w:val="0"/>
          <w:numId w:val="5"/>
        </w:numPr>
        <w:ind w:left="0" w:firstLine="284"/>
        <w:jc w:val="both"/>
        <w:shd w:val="clear" w:color="auto" w:fill="ffffff"/>
        <w:tabs>
          <w:tab w:val="num" w:pos="426" w:leader="none"/>
          <w:tab w:val="clear" w:pos="720" w:leader="none"/>
        </w:tabs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список литературы</w:t>
      </w:r>
      <w:r>
        <w:rPr>
          <w:spacing w:val="5"/>
          <w:sz w:val="28"/>
          <w:szCs w:val="28"/>
        </w:rPr>
        <w:t xml:space="preserve">.</w:t>
      </w:r>
      <w:r/>
    </w:p>
    <w:p>
      <w:pPr>
        <w:ind w:right="38" w:firstLine="709"/>
        <w:jc w:val="both"/>
        <w:shd w:val="clear" w:color="auto" w:fill="ffffff"/>
        <w:rPr>
          <w:sz w:val="28"/>
          <w:szCs w:val="28"/>
        </w:rPr>
      </w:pPr>
      <w:r>
        <w:rPr>
          <w:b/>
          <w:spacing w:val="2"/>
          <w:sz w:val="28"/>
          <w:szCs w:val="28"/>
          <w:u w:val="single"/>
        </w:rPr>
        <w:t xml:space="preserve">Иллюстрации</w:t>
      </w:r>
      <w:r>
        <w:rPr>
          <w:spacing w:val="2"/>
          <w:sz w:val="28"/>
          <w:szCs w:val="28"/>
        </w:rPr>
        <w:t xml:space="preserve"> выполняются на отдельных </w:t>
      </w:r>
      <w:r>
        <w:rPr>
          <w:sz w:val="28"/>
          <w:szCs w:val="28"/>
        </w:rPr>
        <w:t xml:space="preserve">страницах, которые размещаются после ссылок в основном тексте. Не допускается увеличение </w:t>
      </w:r>
      <w:r>
        <w:rPr>
          <w:spacing w:val="-3"/>
          <w:sz w:val="28"/>
          <w:szCs w:val="28"/>
        </w:rPr>
        <w:t xml:space="preserve">формата страниц, склейка страниц иллюстраций буклетом и т.п. Нумерация страниц производится в </w:t>
      </w:r>
      <w:r>
        <w:rPr>
          <w:spacing w:val="3"/>
          <w:sz w:val="28"/>
          <w:szCs w:val="28"/>
        </w:rPr>
        <w:t xml:space="preserve">правом верхнем углу. Основной текст доклада нумеруется арабскими цифрами, страницы </w:t>
      </w:r>
      <w:r>
        <w:rPr>
          <w:spacing w:val="5"/>
          <w:sz w:val="28"/>
          <w:szCs w:val="28"/>
        </w:rPr>
        <w:t xml:space="preserve">иллюстраций - римскими цифрами.</w:t>
      </w:r>
      <w:r/>
    </w:p>
    <w:p>
      <w:pPr>
        <w:ind w:firstLine="709"/>
        <w:jc w:val="both"/>
        <w:shd w:val="clear" w:color="auto" w:fill="ffffff"/>
        <w:tabs>
          <w:tab w:val="left" w:pos="1296" w:leader="none"/>
        </w:tabs>
        <w:rPr>
          <w:spacing w:val="4"/>
          <w:sz w:val="28"/>
          <w:szCs w:val="28"/>
        </w:rPr>
      </w:pPr>
      <w:r>
        <w:rPr>
          <w:b/>
          <w:spacing w:val="4"/>
          <w:sz w:val="28"/>
          <w:szCs w:val="28"/>
          <w:u w:val="single"/>
        </w:rPr>
        <w:t xml:space="preserve">Титульный лист</w:t>
      </w:r>
      <w:r>
        <w:rPr>
          <w:spacing w:val="4"/>
          <w:sz w:val="28"/>
          <w:szCs w:val="28"/>
        </w:rPr>
        <w:t xml:space="preserve"> содержит следующие атрибуты: </w:t>
      </w:r>
      <w:r/>
    </w:p>
    <w:p>
      <w:pPr>
        <w:pStyle w:val="874"/>
        <w:numPr>
          <w:ilvl w:val="0"/>
          <w:numId w:val="12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на</w:t>
      </w:r>
      <w:r>
        <w:rPr>
          <w:spacing w:val="4"/>
          <w:sz w:val="28"/>
          <w:szCs w:val="28"/>
        </w:rPr>
        <w:t xml:space="preserve">звания мероприятия и работы;</w:t>
      </w:r>
      <w:r/>
    </w:p>
    <w:p>
      <w:pPr>
        <w:pStyle w:val="874"/>
        <w:numPr>
          <w:ilvl w:val="0"/>
          <w:numId w:val="12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населенный пункт; </w:t>
      </w:r>
      <w:r/>
    </w:p>
    <w:p>
      <w:pPr>
        <w:pStyle w:val="874"/>
        <w:numPr>
          <w:ilvl w:val="0"/>
          <w:numId w:val="12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об авторах (фамилия, имя, отчество, общеобразовательная организация, класс);</w:t>
      </w:r>
      <w:r/>
    </w:p>
    <w:p>
      <w:pPr>
        <w:pStyle w:val="874"/>
        <w:numPr>
          <w:ilvl w:val="0"/>
          <w:numId w:val="12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 </w:t>
      </w:r>
      <w:r>
        <w:rPr>
          <w:spacing w:val="-5"/>
          <w:sz w:val="28"/>
          <w:szCs w:val="28"/>
        </w:rPr>
        <w:t xml:space="preserve">научных руководителях (фамилия, имя, отчество, ученая степень и звание, должность, место работы, контактный тел</w:t>
      </w:r>
      <w:r>
        <w:rPr>
          <w:spacing w:val="-5"/>
          <w:sz w:val="28"/>
          <w:szCs w:val="28"/>
        </w:rPr>
        <w:t xml:space="preserve">ефон). </w:t>
      </w:r>
      <w:r/>
    </w:p>
    <w:p>
      <w:pPr>
        <w:ind w:firstLine="709"/>
        <w:jc w:val="both"/>
        <w:shd w:val="clear" w:color="auto" w:fill="ffffff"/>
        <w:tabs>
          <w:tab w:val="left" w:pos="1296" w:leader="none"/>
        </w:tabs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 первой странице статьи сначала печатается стандартный заголовок, далее следует </w:t>
      </w:r>
      <w:r>
        <w:rPr>
          <w:spacing w:val="5"/>
          <w:sz w:val="28"/>
          <w:szCs w:val="28"/>
        </w:rPr>
        <w:t xml:space="preserve">текст статьи, список литературы в порядке упоминания в тексте. Сокращения в</w:t>
      </w:r>
      <w:r>
        <w:rPr>
          <w:spacing w:val="3"/>
          <w:sz w:val="28"/>
          <w:szCs w:val="28"/>
        </w:rPr>
        <w:t xml:space="preserve"> названии статьи не допускаются.</w:t>
      </w:r>
      <w:r/>
    </w:p>
    <w:p>
      <w:pPr>
        <w:ind w:firstLine="709"/>
        <w:jc w:val="both"/>
        <w:shd w:val="clear" w:color="auto" w:fill="ffffff"/>
        <w:rPr>
          <w:spacing w:val="2"/>
          <w:sz w:val="28"/>
          <w:szCs w:val="28"/>
        </w:rPr>
      </w:pPr>
      <w:r>
        <w:rPr>
          <w:spacing w:val="6"/>
          <w:sz w:val="28"/>
          <w:szCs w:val="28"/>
        </w:rPr>
        <w:t xml:space="preserve">Если в состав работы входит компьютерная программа, то к работе прилагается </w:t>
      </w:r>
      <w:r>
        <w:rPr>
          <w:spacing w:val="-5"/>
          <w:sz w:val="28"/>
          <w:szCs w:val="28"/>
        </w:rPr>
        <w:t xml:space="preserve">исполняемый программный модуль</w:t>
      </w:r>
      <w:r>
        <w:rPr>
          <w:spacing w:val="2"/>
          <w:sz w:val="28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/>
    </w:p>
    <w:p>
      <w:pPr>
        <w:jc w:val="center"/>
        <w:rPr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Оформление стендов</w:t>
      </w:r>
      <w:r/>
    </w:p>
    <w:p>
      <w:pPr>
        <w:numPr>
          <w:ilvl w:val="0"/>
          <w:numId w:val="9"/>
        </w:numPr>
        <w:ind w:left="0" w:firstLine="567"/>
        <w:tabs>
          <w:tab w:val="clear" w:pos="720" w:leader="none"/>
          <w:tab w:val="num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Постер для презентации проекта должен быть по размеру формата А0 в вертикальной ориентации.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clear" w:pos="720" w:leader="none"/>
          <w:tab w:val="num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постере должно быть оставлено место под регистрационный бланк размера А4 и под номер проекта в номинации размером 10×10 см как указано на схеме ниже.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clear" w:pos="720" w:leader="none"/>
          <w:tab w:val="num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постере и других демонстрационных материалах не должно быть информации рекламного характера и информ</w:t>
      </w:r>
      <w:r>
        <w:rPr>
          <w:sz w:val="28"/>
          <w:szCs w:val="28"/>
        </w:rPr>
        <w:t xml:space="preserve">ации, запрещённой законодательством Российской Федерации.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clear" w:pos="720" w:leader="none"/>
          <w:tab w:val="num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постере должны отсутствовать личные сведения об участнике Конкурса, информация о научном руководителе и учебном заведении, где проводилось исследование.</w:t>
      </w:r>
      <w:r/>
    </w:p>
    <w:p>
      <w:pPr>
        <w:numPr>
          <w:ilvl w:val="0"/>
          <w:numId w:val="9"/>
        </w:numPr>
        <w:ind w:left="0" w:firstLine="567"/>
        <w:jc w:val="both"/>
        <w:tabs>
          <w:tab w:val="clear" w:pos="720" w:leader="none"/>
          <w:tab w:val="num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Если работа выполнена в научном учреждении</w:t>
      </w:r>
      <w:r>
        <w:rPr>
          <w:sz w:val="28"/>
          <w:szCs w:val="28"/>
        </w:rPr>
        <w:t xml:space="preserve"> или компании, то необходимо иметь разрешение на её представление, подписанное руководителем. Если разрешения нет, то участник должен предоставить документ, где подтверждает личную ответственность за проект.</w:t>
      </w:r>
      <w:r/>
    </w:p>
    <w:p>
      <w:pPr>
        <w:ind w:left="567"/>
        <w:rPr>
          <w:sz w:val="10"/>
          <w:szCs w:val="20"/>
        </w:rPr>
      </w:pPr>
      <w:r>
        <w:rPr>
          <w:sz w:val="10"/>
          <w:szCs w:val="20"/>
        </w:rPr>
      </w:r>
      <w:r/>
    </w:p>
    <w:tbl>
      <w:tblPr>
        <w:tblStyle w:val="8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>
        <w:trPr/>
        <w:tc>
          <w:tcPr>
            <w:tcW w:w="3681" w:type="dxa"/>
            <w:textDirection w:val="lrTb"/>
            <w:noWrap w:val="false"/>
          </w:tcPr>
          <w:p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Постер – размер А0, 840х1200 мм, вертикальный.</w:t>
            </w:r>
            <w:r/>
          </w:p>
          <w:p>
            <w:pPr>
              <w:spacing w:line="21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 постере должно быть: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вступление;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методология;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результаты;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заключение;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список использованной литературы;</w:t>
            </w:r>
            <w:r/>
          </w:p>
          <w:p>
            <w:pPr>
              <w:pStyle w:val="874"/>
              <w:numPr>
                <w:ilvl w:val="0"/>
                <w:numId w:val="10"/>
              </w:numPr>
              <w:ind w:left="313" w:hanging="313"/>
              <w:spacing w:line="216" w:lineRule="auto"/>
              <w:tabs>
                <w:tab w:val="left" w:pos="502" w:leader="none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фотографии / графики.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5715</wp:posOffset>
                      </wp:positionV>
                      <wp:extent cx="1654810" cy="2286000"/>
                      <wp:effectExtent l="0" t="0" r="2540" b="0"/>
                      <wp:wrapThrough wrapText="bothSides">
                        <wp:wrapPolygon edited="1">
                          <wp:start x="0" y="0"/>
                          <wp:lineTo x="0" y="21420"/>
                          <wp:lineTo x="21384" y="21420"/>
                          <wp:lineTo x="21384" y="0"/>
                          <wp:lineTo x="0" y="0"/>
                        </wp:wrapPolygon>
                      </wp:wrapThrough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5481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8240;o:allowoverlap:true;o:allowincell:true;mso-position-horizontal-relative:text;margin-left:66.0pt;mso-position-horizontal:absolute;mso-position-vertical-relative:text;margin-top:0.4pt;mso-position-vertical:absolute;width:130.3pt;height:180.0pt;mso-wrap-distance-left:9.0pt;mso-wrap-distance-top:0.0pt;mso-wrap-distance-right:9.0pt;mso-wrap-distance-bottom:0.0pt;" wrapcoords="0 0 0 99167 99000 99167 99000 0 0 0" stroked="false">
                      <v:path textboxrect="0,0,0,0"/>
                      <w10:wrap type="through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/>
    </w:p>
    <w:p>
      <w:pPr>
        <w:ind w:left="552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</w:t>
      </w:r>
      <w:r/>
    </w:p>
    <w:p>
      <w:pPr>
        <w:ind w:left="5529"/>
        <w:jc w:val="both"/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Ставропольского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краевого открытого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научно-инженерного исследовательского конкурса</w:t>
      </w:r>
      <w:r/>
    </w:p>
    <w:p>
      <w:r/>
      <w:r/>
    </w:p>
    <w:p>
      <w:pPr>
        <w:pStyle w:val="706"/>
        <w:jc w:val="center"/>
        <w:spacing w:before="0" w:after="0" w:line="240" w:lineRule="exact"/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pStyle w:val="706"/>
        <w:jc w:val="center"/>
        <w:spacing w:before="0" w:after="0" w:line="240" w:lineRule="exact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Критерии оценивания выступления участника краевого этапа  </w:t>
      </w: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jc w:val="center"/>
      </w:pPr>
      <w:r>
        <w:rPr>
          <w:rFonts w:eastAsia="Arial"/>
          <w:iCs/>
          <w:sz w:val="28"/>
          <w:szCs w:val="28"/>
        </w:rPr>
        <w:t xml:space="preserve">Ставропольского краевого открытого научно-инженерного</w:t>
      </w:r>
      <w:r>
        <w:rPr>
          <w:rFonts w:eastAsia="Arial"/>
          <w:iCs/>
          <w:sz w:val="28"/>
          <w:szCs w:val="28"/>
        </w:rPr>
      </w:r>
      <w:r/>
    </w:p>
    <w:p>
      <w:pPr>
        <w:jc w:val="center"/>
      </w:pPr>
      <w:r>
        <w:rPr>
          <w:rFonts w:eastAsia="Arial"/>
          <w:iCs/>
          <w:sz w:val="28"/>
          <w:szCs w:val="28"/>
        </w:rPr>
        <w:t xml:space="preserve">исследовательского конкурса</w:t>
      </w:r>
      <w:r/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Первый тур</w:t>
      </w:r>
      <w:r>
        <w:rPr>
          <w:sz w:val="28"/>
          <w:szCs w:val="28"/>
        </w:rPr>
      </w:r>
      <w:r/>
    </w:p>
    <w:p>
      <w:pPr>
        <w:jc w:val="center"/>
      </w:pPr>
      <w:r>
        <w:rPr>
          <w:szCs w:val="28"/>
        </w:rPr>
        <w:t xml:space="preserve">8-10 баллов – полное соответствие содержанию критерия.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 4-7 баллов – полное соответствие критерию, но есть незначительные замечания.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1-3 балла – частичное соответствие содержанию критерия, незначительные несоответствия.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0 баллов – отсутствие или несоответствие содержанию критерия.</w:t>
      </w:r>
      <w:bookmarkStart w:id="0" w:name="undefined"/>
      <w:r/>
      <w:bookmarkEnd w:id="0"/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7167"/>
        <w:gridCol w:w="1660"/>
      </w:tblGrid>
      <w:tr>
        <w:trPr/>
        <w:tc>
          <w:tcPr>
            <w:shd w:val="clear" w:color="ffffff" w:fill="ffffff"/>
            <w:tcW w:w="8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№</w:t>
            </w:r>
            <w:r/>
            <w:r/>
          </w:p>
        </w:tc>
        <w:tc>
          <w:tcPr>
            <w:shd w:val="clear" w:color="ffffff" w:fill="ffffff"/>
            <w:tcW w:w="71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lang w:val="en-US"/>
              </w:rPr>
              <w:t xml:space="preserve">Критерии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оцен</w:t>
            </w:r>
            <w:r>
              <w:t xml:space="preserve">ивания</w:t>
            </w:r>
            <w:r>
              <w:t xml:space="preserve"> выступления участника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Количество</w:t>
            </w:r>
            <w:r/>
            <w:r/>
          </w:p>
          <w:p>
            <w:pPr>
              <w:jc w:val="center"/>
              <w:spacing w:line="240" w:lineRule="exact"/>
            </w:pPr>
            <w:r>
              <w:t xml:space="preserve">баллов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shd w:val="clear" w:color="ffffff" w:fill="ffffff"/>
            <w:tcW w:w="7167" w:type="dxa"/>
            <w:textDirection w:val="lrTb"/>
            <w:noWrap w:val="false"/>
          </w:tcPr>
          <w:p>
            <w:r>
              <w:rPr>
                <w:bCs/>
              </w:rPr>
              <w:t xml:space="preserve">Актуальность темы научного исследования или проекта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shd w:val="clear" w:color="ffffff" w:fill="ffffff"/>
            <w:tcW w:w="7167" w:type="dxa"/>
            <w:textDirection w:val="lrTb"/>
            <w:noWrap w:val="false"/>
          </w:tcPr>
          <w:p>
            <w:r>
              <w:rPr>
                <w:bCs/>
              </w:rPr>
              <w:t xml:space="preserve">Четкость определения цели и формулировки задач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  <w:r/>
          </w:p>
        </w:tc>
        <w:tc>
          <w:tcPr>
            <w:shd w:val="clear" w:color="ffffff" w:fill="ffffff"/>
            <w:tcW w:w="7167" w:type="dxa"/>
            <w:textDirection w:val="lrTb"/>
            <w:noWrap w:val="false"/>
          </w:tcPr>
          <w:p>
            <w:r>
              <w:rPr>
                <w:bCs/>
              </w:rPr>
              <w:t xml:space="preserve">Владение методами научного исследования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  <w:r/>
          </w:p>
        </w:tc>
        <w:tc>
          <w:tcPr>
            <w:shd w:val="clear" w:color="ffffff" w:fill="ffffff"/>
            <w:tcW w:w="7167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Научная новизна и практическая значимость результатов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  <w:r/>
          </w:p>
        </w:tc>
        <w:tc>
          <w:tcPr>
            <w:shd w:val="clear" w:color="ffffff" w:fill="ffffff"/>
            <w:tcW w:w="7167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Самостоятельность и оригинальность выводов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  <w:r/>
          </w:p>
        </w:tc>
        <w:tc>
          <w:tcPr>
            <w:shd w:val="clear" w:color="ffffff" w:fill="ffffff"/>
            <w:tcW w:w="7167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Уровень владения основными терминами</w:t>
            </w:r>
            <w:r/>
            <w:r/>
          </w:p>
        </w:tc>
        <w:tc>
          <w:tcPr>
            <w:shd w:val="clear" w:color="ffffff" w:fill="ffffff"/>
            <w:tcW w:w="16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gridSpan w:val="2"/>
            <w:shd w:val="clear" w:color="ffffff" w:fill="ffffff"/>
            <w:tcW w:w="7969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166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60</w:t>
            </w:r>
            <w:r>
              <w:rPr>
                <w:b/>
              </w:rPr>
            </w:r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Второй тур</w:t>
      </w:r>
      <w:r>
        <w:rPr>
          <w:sz w:val="28"/>
          <w:szCs w:val="28"/>
        </w:rPr>
      </w:r>
      <w:r/>
    </w:p>
    <w:p>
      <w:pPr>
        <w:jc w:val="center"/>
      </w:pPr>
      <w:r>
        <w:rPr>
          <w:szCs w:val="28"/>
        </w:rPr>
        <w:t xml:space="preserve">8-10 баллов – полное соответствие содержанию критерия.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 4-7 баллов – полное соответствие критерию, но есть незначительные замечания.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1-3 балла – частичное соответствие содержанию критерия, незначительные несоответствия. </w:t>
      </w:r>
      <w:r>
        <w:rPr>
          <w:szCs w:val="28"/>
        </w:rPr>
      </w:r>
      <w:r/>
    </w:p>
    <w:p>
      <w:pPr>
        <w:jc w:val="center"/>
      </w:pPr>
      <w:r>
        <w:rPr>
          <w:szCs w:val="28"/>
        </w:rPr>
        <w:t xml:space="preserve">0 баллов – отсутствие или несоответствие содержанию критерия.</w:t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7170"/>
        <w:gridCol w:w="1657"/>
      </w:tblGrid>
      <w:tr>
        <w:trPr/>
        <w:tc>
          <w:tcPr>
            <w:shd w:val="clear" w:color="ffffff" w:fill="ffffff"/>
            <w:tcW w:w="8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№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lang w:val="en-US"/>
              </w:rPr>
              <w:t xml:space="preserve">Критерии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оцен</w:t>
            </w:r>
            <w:r>
              <w:t xml:space="preserve">ивания</w:t>
            </w:r>
            <w:r>
              <w:t xml:space="preserve"> выступления участника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Количество</w:t>
            </w:r>
            <w:r/>
            <w:r/>
          </w:p>
          <w:p>
            <w:pPr>
              <w:jc w:val="center"/>
              <w:spacing w:line="240" w:lineRule="exact"/>
            </w:pPr>
            <w:r>
              <w:t xml:space="preserve">баллов</w:t>
            </w:r>
            <w:r/>
            <w:r/>
          </w:p>
        </w:tc>
      </w:tr>
      <w:tr>
        <w:trPr>
          <w:trHeight w:val="307"/>
        </w:trPr>
        <w:tc>
          <w:tcPr>
            <w:gridSpan w:val="2"/>
            <w:shd w:val="clear" w:color="ffffff" w:fill="ffffff"/>
            <w:tcW w:w="79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Критерий 1: Оценка научных результатов работы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0</w:t>
            </w:r>
            <w:r>
              <w:rPr>
                <w:b/>
              </w:rPr>
            </w:r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shd w:val="clear" w:color="ffffff" w:fill="ffffff"/>
            <w:tcW w:w="7170" w:type="dxa"/>
            <w:textDirection w:val="lrTb"/>
            <w:noWrap w:val="false"/>
          </w:tcPr>
          <w:p>
            <w:r>
              <w:rPr>
                <w:bCs/>
              </w:rPr>
              <w:t xml:space="preserve">Новизна </w:t>
            </w:r>
            <w:r>
              <w:rPr>
                <w:bCs/>
              </w:rPr>
              <w:t xml:space="preserve">исследования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shd w:val="clear" w:color="ffffff" w:fill="ffffff"/>
            <w:tcW w:w="7170" w:type="dxa"/>
            <w:textDirection w:val="lrTb"/>
            <w:noWrap w:val="false"/>
          </w:tcPr>
          <w:p>
            <w:r>
              <w:rPr>
                <w:bCs/>
              </w:rPr>
              <w:t xml:space="preserve">Качество </w:t>
            </w:r>
            <w:r>
              <w:rPr>
                <w:bCs/>
              </w:rPr>
              <w:t xml:space="preserve">представляемого материала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  <w:r/>
          </w:p>
        </w:tc>
        <w:tc>
          <w:tcPr>
            <w:shd w:val="clear" w:color="ffffff" w:fill="ffffff"/>
            <w:tcW w:w="7170" w:type="dxa"/>
            <w:textDirection w:val="lrTb"/>
            <w:noWrap w:val="false"/>
          </w:tcPr>
          <w:p>
            <w:r>
              <w:rPr>
                <w:bCs/>
              </w:rPr>
              <w:t xml:space="preserve">Цельность </w:t>
            </w:r>
            <w:r>
              <w:rPr>
                <w:bCs/>
              </w:rPr>
              <w:t xml:space="preserve">и завершенность исследования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  <w:r/>
          </w:p>
        </w:tc>
        <w:tc>
          <w:tcPr>
            <w:shd w:val="clear" w:color="ffffff" w:fill="ffffff"/>
            <w:tcW w:w="7170" w:type="dxa"/>
            <w:textDirection w:val="lrTb"/>
            <w:noWrap w:val="false"/>
          </w:tcPr>
          <w:p>
            <w:r>
              <w:rPr>
                <w:bCs/>
              </w:rPr>
              <w:t xml:space="preserve">Объем </w:t>
            </w:r>
            <w:r>
              <w:rPr>
                <w:bCs/>
              </w:rPr>
              <w:t xml:space="preserve">исследования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самостоятельно проделанной работы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shd w:val="clear" w:color="ffffff" w:fill="ffffff"/>
            <w:tcW w:w="7170" w:type="dxa"/>
            <w:textDirection w:val="lrTb"/>
            <w:noWrap w:val="false"/>
          </w:tcPr>
          <w:p>
            <w:r>
              <w:rPr>
                <w:bCs/>
              </w:rPr>
              <w:t xml:space="preserve">Свободное </w:t>
            </w:r>
            <w:r>
              <w:rPr>
                <w:bCs/>
              </w:rPr>
              <w:t xml:space="preserve">владение темой исследования, научной литературой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gridSpan w:val="2"/>
            <w:shd w:val="clear" w:color="ffffff" w:fill="ffffff"/>
            <w:tcW w:w="79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Критерий 2: Оценка качества материалов, представленных на стенде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</w:r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Логичность </w:t>
            </w:r>
            <w:r>
              <w:rPr>
                <w:bCs/>
              </w:rPr>
              <w:t xml:space="preserve">подачи материала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Ясность </w:t>
            </w:r>
            <w:r>
              <w:rPr>
                <w:bCs/>
              </w:rPr>
              <w:t xml:space="preserve">оформления стенда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д</w:t>
            </w:r>
            <w:r>
              <w:rPr>
                <w:bCs/>
              </w:rPr>
              <w:t xml:space="preserve">изайн стенда, внешний вид, общее впечатление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gridSpan w:val="2"/>
            <w:shd w:val="clear" w:color="ffffff" w:fill="ffffff"/>
            <w:tcW w:w="797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Критерий 3: Оценка качества выступления на стендовой выставке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/>
              </w:rPr>
              <w:t xml:space="preserve">30</w:t>
            </w:r>
            <w:r>
              <w:rPr>
                <w:b/>
                <w:lang w:val="en-US"/>
              </w:rPr>
            </w:r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993" w:leader="none"/>
              </w:tabs>
            </w:pPr>
            <w:r>
              <w:rPr>
                <w:bCs/>
              </w:rPr>
              <w:t xml:space="preserve">Доступность</w:t>
            </w:r>
            <w:r>
              <w:rPr>
                <w:bCs/>
              </w:rPr>
              <w:t xml:space="preserve">, понятность работы</w:t>
            </w:r>
            <w:r>
              <w:rPr>
                <w:bCs/>
              </w:rPr>
              <w:t xml:space="preserve">, у</w:t>
            </w:r>
            <w:r>
              <w:rPr>
                <w:bCs/>
              </w:rPr>
              <w:t xml:space="preserve">бедительность, доверие к докладу и его результатам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Лаконичность</w:t>
            </w:r>
            <w:r>
              <w:rPr>
                <w:bCs/>
              </w:rPr>
              <w:t xml:space="preserve">, содержательность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shd w:val="clear" w:color="ffffff" w:fill="ffffff"/>
            <w:tcW w:w="802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shd w:val="clear" w:color="ffffff" w:fill="ffffff"/>
            <w:tcW w:w="7170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Коммуникативная </w:t>
            </w:r>
            <w:r>
              <w:rPr>
                <w:bCs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W w:w="1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  <w:r/>
          </w:p>
        </w:tc>
      </w:tr>
      <w:tr>
        <w:trPr/>
        <w:tc>
          <w:tcPr>
            <w:gridSpan w:val="2"/>
            <w:shd w:val="clear" w:color="ffffff" w:fill="ffffff"/>
            <w:tcW w:w="7972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165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  <w:r/>
          </w:p>
        </w:tc>
      </w:tr>
    </w:tbl>
    <w:p>
      <w:pPr>
        <w:rPr>
          <w:rFonts w:ascii="Times New Roman" w:hAnsi="Times New Roman" w:eastAsia="Arial" w:cs="Times New Roman"/>
          <w:bCs w:val="0"/>
          <w:i w:val="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06"/>
        <w:jc w:val="center"/>
        <w:spacing w:before="0" w:after="0" w:line="240" w:lineRule="exac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6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17681609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596" w:hanging="516"/>
      </w:pPr>
      <w:rPr>
        <w:rFonts w:hint="default" w:ascii="Times New Roman" w:hAnsi="Times New Roman" w:eastAsia="Times New Roman" w:cs="Times New Roman"/>
        <w:i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  <w:lvlOverride w:ilvl="0">
      <w:lvl w:ilvl="0">
        <w:start w:val="65535"/>
        <w:numFmt w:val="bullet"/>
        <w:isLgl w:val="false"/>
        <w:suff w:val="tab"/>
        <w:lvlText w:val="•"/>
        <w:legacy w:legacy="1" w:legacyIndent="40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0"/>
    <w:uiPriority w:val="10"/>
    <w:rPr>
      <w:sz w:val="48"/>
      <w:szCs w:val="48"/>
    </w:rPr>
  </w:style>
  <w:style w:type="character" w:styleId="693">
    <w:name w:val="Subtitle Char"/>
    <w:basedOn w:val="708"/>
    <w:link w:val="722"/>
    <w:uiPriority w:val="11"/>
    <w:rPr>
      <w:sz w:val="24"/>
      <w:szCs w:val="24"/>
    </w:rPr>
  </w:style>
  <w:style w:type="character" w:styleId="694">
    <w:name w:val="Quote Char"/>
    <w:link w:val="724"/>
    <w:uiPriority w:val="29"/>
    <w:rPr>
      <w:i/>
    </w:rPr>
  </w:style>
  <w:style w:type="character" w:styleId="695">
    <w:name w:val="Intense Quote Char"/>
    <w:link w:val="726"/>
    <w:uiPriority w:val="30"/>
    <w:rPr>
      <w:i/>
    </w:rPr>
  </w:style>
  <w:style w:type="character" w:styleId="696">
    <w:name w:val="Footnote Text Char"/>
    <w:link w:val="857"/>
    <w:uiPriority w:val="99"/>
    <w:rPr>
      <w:sz w:val="18"/>
    </w:rPr>
  </w:style>
  <w:style w:type="character" w:styleId="697">
    <w:name w:val="Endnote Text Char"/>
    <w:link w:val="860"/>
    <w:uiPriority w:val="99"/>
    <w:rPr>
      <w:sz w:val="20"/>
    </w:rPr>
  </w:style>
  <w:style w:type="paragraph" w:styleId="6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link w:val="89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698"/>
    <w:next w:val="69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basedOn w:val="708"/>
    <w:link w:val="720"/>
    <w:uiPriority w:val="10"/>
    <w:rPr>
      <w:sz w:val="48"/>
      <w:szCs w:val="48"/>
    </w:rPr>
  </w:style>
  <w:style w:type="paragraph" w:styleId="722">
    <w:name w:val="Subtitle"/>
    <w:basedOn w:val="698"/>
    <w:next w:val="698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708"/>
    <w:link w:val="722"/>
    <w:uiPriority w:val="11"/>
    <w:rPr>
      <w:sz w:val="24"/>
      <w:szCs w:val="24"/>
    </w:rPr>
  </w:style>
  <w:style w:type="paragraph" w:styleId="724">
    <w:name w:val="Quote"/>
    <w:basedOn w:val="698"/>
    <w:next w:val="698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8"/>
    <w:next w:val="698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8"/>
    <w:uiPriority w:val="99"/>
  </w:style>
  <w:style w:type="character" w:styleId="729" w:customStyle="1">
    <w:name w:val="Footer Char"/>
    <w:basedOn w:val="708"/>
    <w:uiPriority w:val="99"/>
  </w:style>
  <w:style w:type="paragraph" w:styleId="730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1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5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5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4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8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2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6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7">
    <w:name w:val="footnote text"/>
    <w:basedOn w:val="698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8"/>
    <w:uiPriority w:val="99"/>
    <w:unhideWhenUsed/>
    <w:rPr>
      <w:vertAlign w:val="superscript"/>
    </w:rPr>
  </w:style>
  <w:style w:type="paragraph" w:styleId="860">
    <w:name w:val="endnote text"/>
    <w:basedOn w:val="698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8"/>
    <w:uiPriority w:val="99"/>
    <w:semiHidden/>
    <w:unhideWhenUsed/>
    <w:rPr>
      <w:vertAlign w:val="superscript"/>
    </w:rPr>
  </w:style>
  <w:style w:type="paragraph" w:styleId="863">
    <w:name w:val="toc 1"/>
    <w:basedOn w:val="698"/>
    <w:next w:val="698"/>
    <w:uiPriority w:val="39"/>
    <w:unhideWhenUsed/>
    <w:pPr>
      <w:spacing w:after="57"/>
    </w:pPr>
  </w:style>
  <w:style w:type="paragraph" w:styleId="86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8"/>
    <w:next w:val="698"/>
    <w:uiPriority w:val="99"/>
    <w:unhideWhenUsed/>
  </w:style>
  <w:style w:type="paragraph" w:styleId="874">
    <w:name w:val="List Paragraph"/>
    <w:basedOn w:val="698"/>
    <w:uiPriority w:val="99"/>
    <w:qFormat/>
    <w:pPr>
      <w:contextualSpacing/>
      <w:ind w:left="720"/>
    </w:pPr>
  </w:style>
  <w:style w:type="character" w:styleId="875">
    <w:name w:val="Hyperlink"/>
    <w:rPr>
      <w:color w:val="0000ff"/>
      <w:u w:val="single"/>
    </w:rPr>
  </w:style>
  <w:style w:type="paragraph" w:styleId="876">
    <w:name w:val="Body Text 2"/>
    <w:basedOn w:val="698"/>
    <w:link w:val="877"/>
    <w:pPr>
      <w:spacing w:after="120" w:line="480" w:lineRule="auto"/>
    </w:pPr>
  </w:style>
  <w:style w:type="character" w:styleId="877" w:customStyle="1">
    <w:name w:val="Основной текст 2 Знак"/>
    <w:basedOn w:val="708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>
    <w:name w:val="Normal (Web)"/>
    <w:basedOn w:val="698"/>
    <w:pPr>
      <w:spacing w:before="280" w:after="280"/>
    </w:pPr>
    <w:rPr>
      <w:rFonts w:ascii="Arial" w:hAnsi="Arial" w:cs="Arial"/>
      <w:sz w:val="20"/>
      <w:szCs w:val="20"/>
      <w:lang w:eastAsia="ar-SA"/>
    </w:rPr>
  </w:style>
  <w:style w:type="paragraph" w:styleId="879" w:customStyle="1">
    <w:name w:val="МОН"/>
    <w:basedOn w:val="698"/>
    <w:pPr>
      <w:ind w:firstLine="709"/>
      <w:jc w:val="both"/>
      <w:spacing w:line="360" w:lineRule="auto"/>
    </w:pPr>
    <w:rPr>
      <w:sz w:val="28"/>
    </w:rPr>
  </w:style>
  <w:style w:type="paragraph" w:styleId="880" w:customStyle="1">
    <w:name w:val="Абзац списка1"/>
    <w:basedOn w:val="698"/>
    <w:pPr>
      <w:ind w:left="720"/>
      <w:widowControl w:val="off"/>
    </w:pPr>
    <w:rPr>
      <w:sz w:val="20"/>
      <w:szCs w:val="20"/>
    </w:rPr>
  </w:style>
  <w:style w:type="paragraph" w:styleId="881">
    <w:name w:val="Balloon Text"/>
    <w:basedOn w:val="698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708"/>
    <w:link w:val="88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3">
    <w:name w:val="Header"/>
    <w:basedOn w:val="698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708"/>
    <w:link w:val="88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>
    <w:name w:val="Footer"/>
    <w:basedOn w:val="698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708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No Spacing"/>
    <w:link w:val="888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88" w:customStyle="1">
    <w:name w:val="Без интервала Знак"/>
    <w:basedOn w:val="708"/>
    <w:link w:val="887"/>
    <w:uiPriority w:val="1"/>
    <w:rPr>
      <w:rFonts w:ascii="Calibri" w:hAnsi="Calibri" w:eastAsia="Times New Roman" w:cs="Times New Roman"/>
      <w:lang w:eastAsia="ru-RU"/>
    </w:rPr>
  </w:style>
  <w:style w:type="table" w:styleId="889">
    <w:name w:val="Table Grid"/>
    <w:basedOn w:val="7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0" w:customStyle="1">
    <w:name w:val="Заголовок 3 Знак"/>
    <w:basedOn w:val="708"/>
    <w:link w:val="70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91">
    <w:name w:val="Strong"/>
    <w:basedOn w:val="70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forms.yandex.ru/cloud/64e433e3d04688dff7033d26/" TargetMode="External"/><Relationship Id="rId12" Type="http://schemas.openxmlformats.org/officeDocument/2006/relationships/hyperlink" Target="mailto:man@stavddt.ru" TargetMode="External"/><Relationship Id="rId13" Type="http://schemas.openxmlformats.org/officeDocument/2006/relationships/hyperlink" Target="http://stavddt.ru/about/departments/man/konkursy-i-meropriyatiya-man.php" TargetMode="External"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E2-F470-4227-A88B-80F1631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</dc:creator>
  <cp:keywords/>
  <dc:description/>
  <cp:revision>11</cp:revision>
  <dcterms:created xsi:type="dcterms:W3CDTF">2023-08-22T05:20:00Z</dcterms:created>
  <dcterms:modified xsi:type="dcterms:W3CDTF">2023-09-08T07:27:56Z</dcterms:modified>
</cp:coreProperties>
</file>